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1E" w:rsidRPr="00CE4C6B" w:rsidRDefault="00FF5B31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bookmarkStart w:id="0" w:name="_GoBack"/>
      <w:bookmarkEnd w:id="0"/>
      <w:r w:rsidRPr="00CE4C6B">
        <w:rPr>
          <w:rStyle w:val="Bold"/>
          <w:rFonts w:asciiTheme="minorHAnsi" w:hAnsiTheme="minorHAnsi"/>
        </w:rPr>
        <w:t>Plan wynikowy</w:t>
      </w:r>
    </w:p>
    <w:p w:rsidR="006B3A1E" w:rsidRPr="00CE4C6B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CE4C6B">
        <w:rPr>
          <w:rStyle w:val="Bold"/>
          <w:rFonts w:asciiTheme="minorHAnsi" w:hAnsiTheme="minorHAnsi"/>
          <w:color w:val="154194"/>
        </w:rPr>
        <w:t xml:space="preserve">Klasa </w:t>
      </w:r>
      <w:r w:rsidR="004049D2" w:rsidRPr="00CE4C6B">
        <w:rPr>
          <w:rStyle w:val="Bold"/>
          <w:rFonts w:asciiTheme="minorHAnsi" w:hAnsiTheme="minorHAnsi"/>
          <w:color w:val="154194"/>
        </w:rPr>
        <w:t>6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723"/>
        <w:gridCol w:w="7121"/>
      </w:tblGrid>
      <w:tr w:rsidR="00FF5B31" w:rsidRPr="00CE4C6B" w:rsidTr="00FF5B31">
        <w:trPr>
          <w:trHeight w:val="853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1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6B3A1E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CE4C6B" w:rsidRDefault="00FF5B31" w:rsidP="00FF5B31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="00BB7AA5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FF5B31" w:rsidRPr="00CE4C6B" w:rsidTr="00FF5B31">
        <w:trPr>
          <w:trHeight w:val="169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Ogólna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zwierząt żyjących w różnych środowiskach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zwierząt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główne grupy bezkręgowców i kręgowców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najważniejsze cechy bezkręgowców i kręgowców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symetrii ciała z trybem życia zwierząt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wybranych przedstawicieli zwierząt</w:t>
            </w:r>
          </w:p>
        </w:tc>
      </w:tr>
      <w:tr w:rsidR="00FF5B31" w:rsidRPr="00CE4C6B" w:rsidTr="00FF5B31">
        <w:trPr>
          <w:trHeight w:val="29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Tkanki zwierzęce –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tkanka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tkanki zwierzęce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funkcje tkanki nabłonkowej i łącznej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tkanki nabłonkowej i łącznej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nabłonkowej lub łącznej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w budowie tkanki nabłonkowej i tkanek łącznych cechy adaptacyjne do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pełnienia określonych funkcji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tkankę nabłonkową, chrzęstną, kostną i krew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tkankę nabłonkową i łączną pod względem budowy, funkcji i położenia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organizmach zwierzęcych</w:t>
            </w:r>
          </w:p>
        </w:tc>
      </w:tr>
      <w:tr w:rsidR="00FF5B31" w:rsidRPr="00CE4C6B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Tkanki zwierzęce –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tkanki mięśniowej i podaje ich funkcje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tkanki nerwowej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neuronu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mięśniowej lub nerwowej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tkanki mięśniowej z funkcją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adaptacyjne w budowie tkanki nerwowej do pełnionych funkcji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tkanki mięśniowe i tkankę nerwową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porównuje tkankę mięśniową i nerwową pod względem budowy, funkcji i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położenia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organizmach zwierzęcych</w:t>
            </w:r>
          </w:p>
        </w:tc>
      </w:tr>
      <w:tr w:rsidR="00FF5B31" w:rsidRPr="00CE4C6B" w:rsidTr="00FF5B31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4.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Charakterystyka,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parzydełkowców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parzydełkowców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parzydełkowców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tryb życia polipa i meduzy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parzydełkowców na podstawie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rozmnażania się polipa oraz meduzy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krótko charakteryzuje stułbiopławy, krążkopławy i koralowce</w:t>
            </w:r>
          </w:p>
        </w:tc>
      </w:tr>
      <w:tr w:rsidR="00FF5B31" w:rsidRPr="00CE4C6B" w:rsidTr="00FF5B31">
        <w:trPr>
          <w:trHeight w:val="404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płazińców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płazińców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tasiemcem uzbrojonym i nieuzbrojonym oraz zasady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profilaktyki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płazińców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przystosowania tasiemca uzbrojonego i nieuzbrojonego do pasożytniczego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trybu życia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płazińców na podstawie charakterystycznych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stosuje określenia: żywiciel ostateczny, żywiciel pośredni, larwa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budowę, środowisko oraz tryb życia płazińców i parzydełkowców</w:t>
            </w:r>
          </w:p>
        </w:tc>
      </w:tr>
      <w:tr w:rsidR="00FF5B31" w:rsidRPr="00CE4C6B" w:rsidTr="00A71D58">
        <w:trPr>
          <w:trHeight w:val="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nicieni. Nicienie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nicieni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nicieni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określa sposoby zarażenia się glistą, owsikiem i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włośniem</w:t>
            </w:r>
            <w:proofErr w:type="spellEnd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oraz zasady profilaktyki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nicieni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nicieni na podstawie charakterystycznych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miejsce bytowania nicieni pasożytniczych (glista, owsik, włosień) w organizmie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człowieka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budowę, środowisko oraz tryb życia nicieni i płazińców</w:t>
            </w:r>
          </w:p>
        </w:tc>
      </w:tr>
      <w:tr w:rsidR="004049D2" w:rsidRPr="00CE4C6B" w:rsidTr="00656DDE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4049D2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1–6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B87527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B87527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2.</w:t>
            </w:r>
            <w:r w:rsidRPr="00B87527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FF5B31" w:rsidRPr="00CE4C6B" w:rsidTr="004049D2">
        <w:trPr>
          <w:trHeight w:val="25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pierścienic</w:t>
            </w:r>
          </w:p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pierścienic w przyrodzie i dla człowieka</w:t>
            </w:r>
          </w:p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pierścienic</w:t>
            </w:r>
          </w:p>
          <w:p w:rsidR="00FF5B31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w budowie zewnętrznej dżdżownicy, pijawki i nereidy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w typie pierścienice mimo podobieństw w budowie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pierścienic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pierścienic a środowiskiem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planuje doświadczenie, w którym można udowodnić wpływ dżdżownic na mieszanie gleby</w:t>
            </w:r>
          </w:p>
        </w:tc>
      </w:tr>
      <w:tr w:rsidR="004049D2" w:rsidRPr="00CE4C6B" w:rsidTr="004049D2">
        <w:trPr>
          <w:trHeight w:val="20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stawonogów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skorupiaków w przyrodzie i dla człowieka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stawonogów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umożliwiające skorupiakom opanowanie środowiska wodnego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skorupiaków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stawonoga na podstawie 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skorupiaków: poruszanie się, odżywianie się, 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skorupiaków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skorupiaków ze środowiskiem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</w:tc>
      </w:tr>
      <w:tr w:rsidR="00FF5B31" w:rsidRPr="00CE4C6B" w:rsidTr="00FF5B31">
        <w:trPr>
          <w:trHeight w:val="24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Owady –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owadów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owadów w przyrodzie i dla człowieka (owady pożyteczne i owady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szkodniki)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owadom opanowanie środowiska lądowego oraz aktywny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lot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aparatów gębowych oraz odnóży owadów w odniesieniu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trybu życia i rodzaju pobieranego pokarmu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owadów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przedstawia czynności życiowe owadów: poruszanie się, odżywianie się,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dwa typy rozwoju złożonego – z przeobrażeniem zupełnym i niezupełnym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czynności życiowe owadów i skorupiaków</w:t>
            </w:r>
          </w:p>
        </w:tc>
      </w:tr>
      <w:tr w:rsidR="00FF5B31" w:rsidRPr="00CE4C6B" w:rsidTr="00FF5B31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11.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i tryb życia pajęczaków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pajęczaków w przyrodzie i dla człowieka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wspólne cechy budowy zewnętrznej pajęczaków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pajęczaków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zdolność większości pajęczaków do wysnuwania nici i określa zastosowania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tych nici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pajęczaków z uwzględnieniem odżywiania się, oddychania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rozmnażania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pajęczaków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czynności życiowe pajęczaków, owadów i skorupiaków</w:t>
            </w:r>
          </w:p>
        </w:tc>
      </w:tr>
      <w:tr w:rsidR="00FF5B31" w:rsidRPr="00CE4C6B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Mięczaki.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środowisk zamieszkiwanych przez mięczaki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ślimaków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ślimaków w przyrodzie i dla człowieka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mięczaków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budowy zewnętrznej ślimaków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mięczakom opanowanie środowiska wodnego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ślimaków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ślimaków: poruszanie się, odżywianie się, 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ślimaków, uwzględnia kształt nogi oraz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obecność muszli</w:t>
            </w:r>
          </w:p>
        </w:tc>
      </w:tr>
      <w:tr w:rsidR="00FF5B31" w:rsidRPr="00CE4C6B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Małże i głowonogi</w:t>
            </w:r>
          </w:p>
          <w:p w:rsidR="004049D2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– charakterystyka</w:t>
            </w:r>
          </w:p>
          <w:p w:rsidR="00FF5B31" w:rsidRPr="00CE4C6B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i tryb życia małży i głowonogów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małży i głowonogów w przyrodzie oraz dla człowieka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zewnętrzną małży i głowonogów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zewnętrznej umożliwiające małżom i głowonogom przystosowanie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życia w środowisku wodnym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głowonogów, uwzględnia liczbę ramion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klasyfikuje nieznany organizm jako przedstawiciela małży lub głowonogów na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podstawie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zaobserwowanych cech budowy zewnętrznej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małży i głowonogów: poruszanie się, odżywianie się,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oddychanie, rozmnażanie się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i czynności życiowe małży, głowonogów oraz ślimaków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głowonogom aktywne polowanie</w:t>
            </w:r>
          </w:p>
        </w:tc>
      </w:tr>
      <w:tr w:rsidR="00656DDE" w:rsidRPr="00CE4C6B" w:rsidTr="00656DDE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C2151D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7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B87527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B87527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3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FF5B31" w:rsidRPr="00CE4C6B" w:rsidTr="00FF5B31">
        <w:trPr>
          <w:trHeight w:val="599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15.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Ryby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gromady zwierząt zaliczanych do kręgowców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życia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ryby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kręgowców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ryb kostnoszkieletowych i chrzęstnoszkieletowych oraz wskazuje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różnicę w ich budowie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jest zmiennocieplność i określa ryby jako zwierzęta zmiennocieplne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przynależność ryb do kręgowców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ryb w budowie i czynnościach życiowych do życia w wodzie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funkcjonowanie pęcherza pławnego i skrzeli</w:t>
            </w:r>
          </w:p>
        </w:tc>
      </w:tr>
      <w:tr w:rsidR="00FF5B31" w:rsidRPr="00CE4C6B" w:rsidTr="00FF5B31">
        <w:trPr>
          <w:trHeight w:val="56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16.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ryb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ryb w przyrodzie i dla człowieka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gatunków ryb chronionych w Polsce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i uzasadnia potrzebę ich 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wykazuje, na wybranych przykładach, różnorodność budowy zewnętrznej ryb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związanej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trybem 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między jajorodnością a jajożyworodnością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ryb w obrębie gromady</w:t>
            </w:r>
          </w:p>
        </w:tc>
      </w:tr>
      <w:tr w:rsidR="00FF5B31" w:rsidRPr="00CE4C6B" w:rsidTr="00FF5B31">
        <w:trPr>
          <w:trHeight w:val="69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17.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i tryb życia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płazy jako zwierzęta zmiennocieplne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płazów ogoniastych i bezogonowych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 związek budowy i czynności życiowych płazów ze środowiskiem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wodno</w:t>
            </w:r>
            <w:proofErr w:type="spellEnd"/>
            <w:r w:rsidRPr="00CE4C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/>
              </w:rPr>
              <w:t>‑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lądowym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płazów</w:t>
            </w:r>
          </w:p>
        </w:tc>
      </w:tr>
      <w:tr w:rsidR="00FF5B31" w:rsidRPr="00CE4C6B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18.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płazów w przyrodzie i dla człowieka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płazów chronionych w Polsce i uzasadnia potrzebę ich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etapy rozwoju płazów na przykładzie żaby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płazów pod względem budowy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zewnętrznej i trybu życia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tryb życia kijanki i postaci dorosłej żaby</w:t>
            </w:r>
          </w:p>
        </w:tc>
      </w:tr>
      <w:tr w:rsidR="00FF5B31" w:rsidRPr="00CE4C6B" w:rsidTr="00952CEA">
        <w:trPr>
          <w:trHeight w:val="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Gady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zwierzęta zmiennocieplne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gadów na przykładzie jaszczurki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gadów w budowie i czynnościach życiowych do życia na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lądzie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narządy zmysłów gadów i określa ich znaczenie w życiu na lądzie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gadów z życiem na lądzie</w:t>
            </w:r>
          </w:p>
        </w:tc>
      </w:tr>
      <w:tr w:rsidR="00FF5B31" w:rsidRPr="00CE4C6B" w:rsidTr="00FF5B31">
        <w:trPr>
          <w:trHeight w:val="61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20.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rozwoju 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gadów w przyrodzie i dla człowieka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owodniowce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gadów w przyrodzie i dla człowieka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gadów chronionych w Polsce i uzasadnia potrzebę ich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funkcje poszczególnych błon płodowych w rozwoju 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gadów pod względem budowy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zewnętrznej i trybu życia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że wytworzenie błon płodowych uniezależnia rozwój gadów od środowiska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wodnego</w:t>
            </w:r>
          </w:p>
        </w:tc>
      </w:tr>
      <w:tr w:rsidR="00656DDE" w:rsidRPr="00CE4C6B" w:rsidTr="00656DDE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CE4C6B">
              <w:rPr>
                <w:rStyle w:val="boldasia"/>
                <w:rFonts w:asciiTheme="minorHAnsi" w:hAnsiTheme="minorHAnsi"/>
                <w:b/>
                <w:bCs/>
                <w:caps/>
                <w:color w:val="auto"/>
              </w:rPr>
              <w:t xml:space="preserve">DZIAŁ 4.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FF5B31" w:rsidRPr="00CE4C6B" w:rsidTr="00FF5B31">
        <w:trPr>
          <w:trHeight w:val="566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22.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Budowa ptaków.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przedstawicieli ptaków wśród innych 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identyfikuje nieznany organizm jako przedstawiciela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ptaków na podstawie obecności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i rolę pióra konturowego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stałocieplność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przystosowania ptaków do lotu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pióro konturowe z puchowym pod względem budowy i funkcji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charakterystyczne cechy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stałocieplności w opanowaniu przez ptaki różnych rejonów kuli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ziemskiej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ptaka z przystosowaniem do lotu</w:t>
            </w:r>
          </w:p>
        </w:tc>
      </w:tr>
      <w:tr w:rsidR="00FF5B31" w:rsidRPr="00CE4C6B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23.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typ zapłodnienia i formę rozrodu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gniazdowniki od zagniazdowników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na czym polega jajorodność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elementy budowy jaja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zachowań ptaków w okresie godowym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elementów budowy jaja w rozwoju zarodka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dlaczego ptaki zaliczmy do owodniowców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błon płodowych w rozwoju ptaków</w:t>
            </w:r>
          </w:p>
        </w:tc>
      </w:tr>
      <w:tr w:rsidR="00FF5B31" w:rsidRPr="00CE4C6B" w:rsidTr="00FF5B31">
        <w:trPr>
          <w:trHeight w:val="45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24.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4049D2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FF5B31" w:rsidRPr="00CE4C6B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ptaków w środowisku i dla człowieka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w najbliższej okolicy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różnorodność ptaków pod względem rozmiarów i upierzenia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ptaków chronionych w Polsce oraz uzasadnia potrzebę ich ochrony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żyjące w Polsce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 ptaków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 związek między budową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dzioba</w:t>
            </w:r>
            <w:proofErr w:type="spellEnd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a rodzajem pobieranego pokarmu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przyporządkowuje ptaki do grzebieniowych,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bezgrzebieniowych</w:t>
            </w:r>
            <w:proofErr w:type="spellEnd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i pingwinów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ptaków w budowie zewnętrznej do różnych środowisk i trybu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przez siebie przykładach, różnorodność i jedność ptaków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gromady</w:t>
            </w:r>
          </w:p>
        </w:tc>
      </w:tr>
      <w:tr w:rsidR="00FF5B31" w:rsidRPr="00CE4C6B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25.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Ssaki – ogólna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w budowie zewnętrznej umożliwiające zakwalifikowanie organizmu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rozpoznaje przedstawicieli ssaków wśród innych grup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ssaków na podstawie obecności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wyróżnia różne rodzaje zębów ssaków i określa ich rolę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skóry i jej wytworów w życiu ssaka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stałocieplności w opanowaniu przez ssaki różnych rejonów kuli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ziemskiej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ssaka w budowie do środowiska lądowego</w:t>
            </w:r>
          </w:p>
        </w:tc>
      </w:tr>
      <w:tr w:rsidR="00FF5B31" w:rsidRPr="00CE4C6B" w:rsidTr="00FF5B31">
        <w:trPr>
          <w:trHeight w:val="5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D3903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26.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znaczy, że ssaki są żyworodne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ssaki łożyskowe od stekowców i torbaczy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ssaków łożyskowych, torbaczy i stekowców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sposób rozmnażania się i rozwoju ssaków łożyskowych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łożyska w rozwoju zarodkowym ssaków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rozwój zarodkowy ssaków łożyskowych, stekowców i torbaczy</w:t>
            </w:r>
          </w:p>
        </w:tc>
      </w:tr>
      <w:tr w:rsidR="00FF5B31" w:rsidRPr="00CE4C6B" w:rsidTr="00FF5B31">
        <w:trPr>
          <w:trHeight w:val="64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27.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ssaków w środowisku oraz dla człowieka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z najbliższej okolicy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gatunków ssaków chronionych w Polsce oraz uzasadnia potrzebę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ich ochrony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żyjące w Polsce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 ssaków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uzębienia ssaków ze sposobem odżywiania się i trybem 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ssaków w budowie zewnętrznej do różnych środowisk i trybu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ssaków w obrębie gromady</w:t>
            </w:r>
          </w:p>
        </w:tc>
      </w:tr>
      <w:tr w:rsidR="00656DDE" w:rsidRPr="00CE4C6B" w:rsidTr="00656DDE">
        <w:trPr>
          <w:trHeight w:val="106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B87527" w:rsidP="00FF5B31">
            <w:pPr>
              <w:spacing w:after="0" w:line="240" w:lineRule="auto"/>
              <w:rPr>
                <w:sz w:val="20"/>
                <w:szCs w:val="20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6B3A1E" w:rsidRPr="00CE4C6B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CE4C6B" w:rsidRDefault="006B5810" w:rsidP="001E4CB0">
      <w:pPr>
        <w:ind w:left="142"/>
        <w:rPr>
          <w:rFonts w:cs="Arial"/>
          <w:color w:val="F09120"/>
        </w:rPr>
      </w:pPr>
    </w:p>
    <w:sectPr w:rsidR="006B5810" w:rsidRPr="00CE4C6B" w:rsidSect="00455ADD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07" w:rsidRDefault="002A2407" w:rsidP="00285D6F">
      <w:pPr>
        <w:spacing w:after="0" w:line="240" w:lineRule="auto"/>
      </w:pPr>
      <w:r>
        <w:separator/>
      </w:r>
    </w:p>
  </w:endnote>
  <w:endnote w:type="continuationSeparator" w:id="0">
    <w:p w:rsidR="002A2407" w:rsidRDefault="002A240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DE" w:rsidRDefault="00656DD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7DB5D" wp14:editId="0B87778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046CB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656DDE" w:rsidRDefault="00656DD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00E96" wp14:editId="083C8D5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16C97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56DDE" w:rsidRDefault="00656DD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6067429" wp14:editId="10A2F58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6B305F3" wp14:editId="2CF8326A">
              <wp:simplePos x="0" y="0"/>
              <wp:positionH relativeFrom="page">
                <wp:posOffset>7258050</wp:posOffset>
              </wp:positionH>
              <wp:positionV relativeFrom="page">
                <wp:posOffset>6896100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DE" w:rsidRDefault="00656DDE" w:rsidP="008162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305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71.5pt;margin-top:543pt;width:233.25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    <v:textbox inset="0,0,0,0">
                <w:txbxContent>
                  <w:p w:rsidR="00656DDE" w:rsidRDefault="00656DDE" w:rsidP="00816213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56DDE" w:rsidRDefault="00656DDE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2151D">
      <w:rPr>
        <w:noProof/>
      </w:rPr>
      <w:t>1</w:t>
    </w:r>
    <w:r>
      <w:fldChar w:fldCharType="end"/>
    </w:r>
  </w:p>
  <w:p w:rsidR="00656DDE" w:rsidRPr="00285D6F" w:rsidRDefault="00656DD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07" w:rsidRDefault="002A2407" w:rsidP="00285D6F">
      <w:pPr>
        <w:spacing w:after="0" w:line="240" w:lineRule="auto"/>
      </w:pPr>
      <w:r>
        <w:separator/>
      </w:r>
    </w:p>
  </w:footnote>
  <w:footnote w:type="continuationSeparator" w:id="0">
    <w:p w:rsidR="002A2407" w:rsidRDefault="002A240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DE" w:rsidRDefault="00656DD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23E67E" wp14:editId="034E5156">
          <wp:simplePos x="0" y="0"/>
          <wp:positionH relativeFrom="column">
            <wp:posOffset>5288915</wp:posOffset>
          </wp:positionH>
          <wp:positionV relativeFrom="paragraph">
            <wp:posOffset>45339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E92F062" wp14:editId="161CDCE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DDE" w:rsidRDefault="00656DDE" w:rsidP="00435B7E">
    <w:pPr>
      <w:pStyle w:val="Nagwek"/>
      <w:tabs>
        <w:tab w:val="clear" w:pos="9072"/>
      </w:tabs>
      <w:ind w:left="142" w:right="142"/>
    </w:pPr>
  </w:p>
  <w:p w:rsidR="00656DDE" w:rsidRDefault="00656DDE" w:rsidP="00435B7E">
    <w:pPr>
      <w:pStyle w:val="Nagwek"/>
      <w:tabs>
        <w:tab w:val="clear" w:pos="9072"/>
      </w:tabs>
      <w:ind w:left="142" w:right="142"/>
    </w:pPr>
  </w:p>
  <w:p w:rsidR="00656DDE" w:rsidRDefault="00656DD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E4CB0"/>
    <w:rsid w:val="001F0820"/>
    <w:rsid w:val="00234650"/>
    <w:rsid w:val="00245DA5"/>
    <w:rsid w:val="00285D6F"/>
    <w:rsid w:val="002A2407"/>
    <w:rsid w:val="002F1910"/>
    <w:rsid w:val="00317434"/>
    <w:rsid w:val="00350FC5"/>
    <w:rsid w:val="003572A4"/>
    <w:rsid w:val="003804FB"/>
    <w:rsid w:val="003B19DC"/>
    <w:rsid w:val="004049D2"/>
    <w:rsid w:val="00435B7E"/>
    <w:rsid w:val="00455ADD"/>
    <w:rsid w:val="00592B22"/>
    <w:rsid w:val="005F4797"/>
    <w:rsid w:val="00602ABB"/>
    <w:rsid w:val="00656DDE"/>
    <w:rsid w:val="00672759"/>
    <w:rsid w:val="00684E0A"/>
    <w:rsid w:val="00687E4E"/>
    <w:rsid w:val="006B3A1E"/>
    <w:rsid w:val="006B5810"/>
    <w:rsid w:val="006D3903"/>
    <w:rsid w:val="007B3CB5"/>
    <w:rsid w:val="007F03F4"/>
    <w:rsid w:val="00816213"/>
    <w:rsid w:val="0083577E"/>
    <w:rsid w:val="008648E0"/>
    <w:rsid w:val="0089186E"/>
    <w:rsid w:val="008C2636"/>
    <w:rsid w:val="009130E5"/>
    <w:rsid w:val="00914856"/>
    <w:rsid w:val="00952CEA"/>
    <w:rsid w:val="009716E4"/>
    <w:rsid w:val="009E0F62"/>
    <w:rsid w:val="00A239DF"/>
    <w:rsid w:val="00A5798A"/>
    <w:rsid w:val="00A71D58"/>
    <w:rsid w:val="00AB49BA"/>
    <w:rsid w:val="00B005F2"/>
    <w:rsid w:val="00B21121"/>
    <w:rsid w:val="00B63701"/>
    <w:rsid w:val="00B87527"/>
    <w:rsid w:val="00BB7AA5"/>
    <w:rsid w:val="00C2151D"/>
    <w:rsid w:val="00CE4C6B"/>
    <w:rsid w:val="00D22D55"/>
    <w:rsid w:val="00D930D9"/>
    <w:rsid w:val="00DE1C50"/>
    <w:rsid w:val="00E94882"/>
    <w:rsid w:val="00EB3B1B"/>
    <w:rsid w:val="00EC12C2"/>
    <w:rsid w:val="00EE01FE"/>
    <w:rsid w:val="00FD3A8B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93327-7F78-44C1-B675-C68CC955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  <w:style w:type="character" w:styleId="Wyrnieniedelikatne">
    <w:name w:val="Subtle Emphasis"/>
    <w:basedOn w:val="Domylnaczcionkaakapitu"/>
    <w:uiPriority w:val="19"/>
    <w:qFormat/>
    <w:rsid w:val="003804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D746-7205-4DF9-816A-782D764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 Górowska</cp:lastModifiedBy>
  <cp:revision>2</cp:revision>
  <dcterms:created xsi:type="dcterms:W3CDTF">2019-08-12T12:50:00Z</dcterms:created>
  <dcterms:modified xsi:type="dcterms:W3CDTF">2019-08-12T12:50:00Z</dcterms:modified>
</cp:coreProperties>
</file>