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B634D0" w:rsidRDefault="00561DB4" w:rsidP="00561DB4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auto"/>
          <w:sz w:val="32"/>
          <w:szCs w:val="32"/>
        </w:rPr>
      </w:pPr>
      <w:bookmarkStart w:id="0" w:name="_GoBack"/>
      <w:bookmarkEnd w:id="0"/>
      <w:r w:rsidRPr="00B634D0">
        <w:rPr>
          <w:rFonts w:asciiTheme="minorHAnsi" w:hAnsiTheme="minorHAnsi" w:cs="AgendaPl Bold"/>
          <w:b/>
          <w:bCs/>
          <w:color w:val="auto"/>
          <w:sz w:val="32"/>
          <w:szCs w:val="32"/>
        </w:rPr>
        <w:t>Klasa 4 – wymagania na poszczególne oceny szkolne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B634D0" w:rsidRPr="00B634D0" w:rsidTr="00B634D0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 xml:space="preserve">Numer </w:t>
            </w: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>Wymagania podstawowe</w:t>
            </w:r>
          </w:p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>Wymagania ponadpodstawowe</w:t>
            </w:r>
          </w:p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>Uczeń na ocenę:</w:t>
            </w:r>
          </w:p>
        </w:tc>
      </w:tr>
      <w:tr w:rsidR="00B634D0" w:rsidRPr="00B634D0" w:rsidTr="00B634D0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DB4" w:rsidRPr="00B634D0" w:rsidRDefault="00561DB4" w:rsidP="00561DB4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 w:cs="AgendaPl BoldCondensed"/>
                <w:b/>
                <w:bCs/>
                <w:color w:val="auto"/>
                <w:sz w:val="24"/>
                <w:szCs w:val="24"/>
              </w:rPr>
              <w:t>celującą</w:t>
            </w:r>
          </w:p>
        </w:tc>
      </w:tr>
      <w:tr w:rsidR="00B634D0" w:rsidRPr="00B634D0" w:rsidTr="00B634D0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Dział 1. Poznawanie przyrody 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(odpowiada treściom kształcenia z działów</w:t>
            </w:r>
            <w:r w:rsidRPr="00B634D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634D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I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 i częściowo</w:t>
            </w:r>
            <w:r w:rsidRPr="00B634D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634D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II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z </w:t>
            </w:r>
            <w:r w:rsidRPr="00B634D0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Podstawy programowej kształcenia ogólnego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</w:tr>
      <w:tr w:rsidR="00561DB4" w:rsidRPr="00561DB4" w:rsidTr="00B634D0">
        <w:trPr>
          <w:trHeight w:val="60"/>
        </w:trPr>
        <w:tc>
          <w:tcPr>
            <w:tcW w:w="226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561DB4" w:rsidRPr="006C4E2D" w:rsidRDefault="0002209F" w:rsidP="00561DB4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561DB4" w:rsidRPr="00561DB4" w:rsidTr="001B77EC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6. 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wskazuje rysunki przedstawiające drogę Słońca w dniach rozpoczynających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561DB4" w:rsidRPr="00561DB4" w:rsidTr="00B634D0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7. </w:t>
            </w:r>
            <w:r w:rsidR="0032331D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Poznawanie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lastRenderedPageBreak/>
              <w:t>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lastRenderedPageBreak/>
              <w:t>Wykazuje się wiadomościami i umiejętnościami z lekcji 1–6.</w:t>
            </w:r>
          </w:p>
        </w:tc>
      </w:tr>
      <w:tr w:rsidR="00B634D0" w:rsidRPr="00B634D0" w:rsidTr="00B634D0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lastRenderedPageBreak/>
              <w:t xml:space="preserve">Dział 2. Orientacja w terenie i pogoda 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(odpowiada treściom kształcenia z działów </w:t>
            </w:r>
            <w:r w:rsidRPr="00B634D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II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(częściowo) i </w:t>
            </w:r>
            <w:r w:rsidRPr="00B634D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III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z </w:t>
            </w:r>
            <w:r w:rsidRPr="00B634D0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Podstawy programowej kształcenia ogólnego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</w:tr>
      <w:tr w:rsidR="00561DB4" w:rsidRPr="00561DB4" w:rsidTr="00B634D0">
        <w:trPr>
          <w:trHeight w:val="60"/>
        </w:trPr>
        <w:tc>
          <w:tcPr>
            <w:tcW w:w="226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 w:rsidR="001D4196"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mapie znaki topograficzne liniowe, powierzchniowe i punktowe, podaje ich przykłady.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561DB4" w:rsidRPr="00561DB4" w:rsidTr="001B77EC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14.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niebezpieczeństwa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opisuje, jak należy zachować się podczas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opisuje, jak należy zachować się podczas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wichury, ulewy i śnieżycy.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561DB4" w:rsidRPr="00561DB4" w:rsidTr="00B634D0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lastRenderedPageBreak/>
              <w:t xml:space="preserve">15. </w:t>
            </w:r>
            <w:r w:rsidR="0032331D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B634D0" w:rsidRPr="00B634D0" w:rsidTr="00B634D0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clear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Dział 3. Ja i moje ciało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(odpowiada treściom kształcenia z działu </w:t>
            </w:r>
            <w:r w:rsidRPr="00B634D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IV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z </w:t>
            </w:r>
            <w:r w:rsidRPr="00B634D0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Podstawy programowej kształcenia ogólnego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narządów w organizmie człowieka oraz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561DB4" w:rsidRPr="00561DB4" w:rsidTr="001B77EC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D713A8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 w:rsidR="00D713A8"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 w:rsidR="00A0713B"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zmiany zachodzące w organizmach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dziewcząt i chłopców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 czynniki wpływające pozytywnie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negatywnie na rozwój 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561DB4" w:rsidRPr="00561DB4" w:rsidTr="001B77EC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485D8E" w:rsidP="005A004D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561DB4">
              <w:rPr>
                <w:rFonts w:asciiTheme="minorHAnsi" w:hAnsiTheme="minorHAnsi"/>
                <w:w w:val="97"/>
              </w:rPr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A004D" w:rsidRDefault="005A004D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365F91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561DB4" w:rsidRPr="00561DB4" w:rsidTr="00B634D0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 w:rsidR="00485D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16–25.</w:t>
            </w:r>
          </w:p>
        </w:tc>
      </w:tr>
      <w:tr w:rsidR="00B634D0" w:rsidRPr="00B634D0" w:rsidTr="00B634D0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clear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Dział 4. Ja i moje otoczenie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(odpowiada treściom kształcenia z działu </w:t>
            </w:r>
            <w:r w:rsidRPr="00B634D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V</w:t>
            </w:r>
            <w:r w:rsidRPr="00B634D0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z </w:t>
            </w:r>
            <w:r w:rsidRPr="00B634D0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Podstawy programowej kształcenia ogólnego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561DB4" w:rsidRPr="00561DB4" w:rsidTr="001B77EC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chorób zakaźnych człowieka i dróg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 w:rsidR="00C22C75"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podaje przykłady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zachowań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asertywnych wobec presji otoczenia;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internet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mogą 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podaje przykłady potraw, których powinna się wystrzegać osoba prowadząca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zdrowy styl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należy zachować postawę asertywną w sytuacji bycia namawianym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 xml:space="preserve">Zdrowie w dużej mierze zależy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lastRenderedPageBreak/>
              <w:t>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B634D0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="004437EF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B634D0" w:rsidRPr="00B634D0" w:rsidTr="00B634D0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clear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B634D0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34D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Dział 5. Środowisko przyrodnicze najbliższej okolicy 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(odpowiada treściom kształcenia z działu </w:t>
            </w:r>
            <w:r w:rsidRPr="00B634D0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VI</w:t>
            </w:r>
            <w:r w:rsidRPr="00B634D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z </w:t>
            </w:r>
            <w:r w:rsidRPr="00B634D0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Podstawy programowej kształcenia ogólnego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wskazuje, które z form są wklęsłe, a które wypukłe (na fotografiach, modelach lub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38. Organizmy 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rozpoznaje pospolite drzewa, krzewy i rośliny zielne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różnice między drzewem iglastym a drzewem liściastym;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bylin 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podaje, które rośliny są 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roślinami jednorocznymi, dwuletnimi i wieloletnimi.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opisuje, jak można poznawać las za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561DB4" w:rsidRPr="00561DB4" w:rsidTr="001B77EC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 w:rsidR="00747F15"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ziemniaków 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B634D0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561DB4" w:rsidRPr="00561DB4" w:rsidTr="00B634D0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clear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0201B9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B634D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Dział 6. Krajobraz najbliższej okolicy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(odpowiada treściom kształcenia z działu VII z </w:t>
            </w:r>
            <w:r w:rsidRPr="00B634D0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Podstawy programowej kształcenia ogólnego</w:t>
            </w:r>
            <w:r w:rsidRPr="00B634D0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 xml:space="preserve">49. Wpływ </w:t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opisuje dzisiejszy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wygląd krajobrazu w mieście i na wsi;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opisuje, jak wyglądał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krajobraz przed setkami lat (na podstawie ryciny) i czym zajmowali się ludzie;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wyjaśnia, dlaczego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krajobrazów naturalnych na Ziemi jest niewiele;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podaje przykłady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krajobrazów naturalnych i uzasadnia ich zakwalifikowanie do danego typu krajobrazów;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podaje przykłady zmian krajobrazu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na skutek gwałtownego rozwoju przemysłu w XIX w.;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8957A1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50. Krajobraz wsi</w:t>
            </w:r>
            <w:r w:rsidR="008957A1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8957A1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 xml:space="preserve">53. Obiekty </w:t>
            </w: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wymienia formy ochrony przyrody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możliwości ochrony przyrody przez 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charakteryzuje sposoby ochrony przyrody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w Polsce,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podaje przykłady rezerwatów przyrody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i pomników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opisuje zadania szkolnego koła Ligi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561DB4" w:rsidRPr="00561DB4" w:rsidTr="001B77EC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="00BB2770"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6.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:rsidR="00561DB4" w:rsidRPr="00561DB4" w:rsidRDefault="00561DB4" w:rsidP="00561DB4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6B5810" w:rsidRPr="00561DB4" w:rsidRDefault="006B5810" w:rsidP="00561DB4"/>
    <w:sectPr w:rsidR="006B5810" w:rsidRPr="00561DB4" w:rsidSect="001E4CB0"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84" w:rsidRDefault="005A5A84" w:rsidP="00285D6F">
      <w:pPr>
        <w:spacing w:line="240" w:lineRule="auto"/>
      </w:pPr>
      <w:r>
        <w:separator/>
      </w:r>
    </w:p>
  </w:endnote>
  <w:endnote w:type="continuationSeparator" w:id="0">
    <w:p w:rsidR="005A5A84" w:rsidRDefault="005A5A84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D" w:rsidRDefault="0032331D" w:rsidP="00B634D0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color w:val="003892"/>
      </w:rPr>
      <w:t xml:space="preserve"> </w:t>
    </w:r>
  </w:p>
  <w:p w:rsidR="0032331D" w:rsidRPr="00285D6F" w:rsidRDefault="0032331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84" w:rsidRDefault="005A5A84" w:rsidP="00285D6F">
      <w:pPr>
        <w:spacing w:line="240" w:lineRule="auto"/>
      </w:pPr>
      <w:r>
        <w:separator/>
      </w:r>
    </w:p>
  </w:footnote>
  <w:footnote w:type="continuationSeparator" w:id="0">
    <w:p w:rsidR="005A5A84" w:rsidRDefault="005A5A84" w:rsidP="00285D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01B9"/>
    <w:rsid w:val="0002209F"/>
    <w:rsid w:val="000B75F5"/>
    <w:rsid w:val="00122E8E"/>
    <w:rsid w:val="001B77EC"/>
    <w:rsid w:val="001D4196"/>
    <w:rsid w:val="001E4CB0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435B7E"/>
    <w:rsid w:val="004437EF"/>
    <w:rsid w:val="00485D8E"/>
    <w:rsid w:val="004A1A12"/>
    <w:rsid w:val="004F2292"/>
    <w:rsid w:val="00561DB4"/>
    <w:rsid w:val="00592B22"/>
    <w:rsid w:val="005A004D"/>
    <w:rsid w:val="005A4885"/>
    <w:rsid w:val="005A5A84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8217F1"/>
    <w:rsid w:val="008648E0"/>
    <w:rsid w:val="00890CCF"/>
    <w:rsid w:val="0089186E"/>
    <w:rsid w:val="008957A1"/>
    <w:rsid w:val="008B6CC5"/>
    <w:rsid w:val="008C2636"/>
    <w:rsid w:val="008F3A2D"/>
    <w:rsid w:val="009130E5"/>
    <w:rsid w:val="00914856"/>
    <w:rsid w:val="0093621A"/>
    <w:rsid w:val="009E0F62"/>
    <w:rsid w:val="00A0713B"/>
    <w:rsid w:val="00A07CC7"/>
    <w:rsid w:val="00A239DF"/>
    <w:rsid w:val="00A4422C"/>
    <w:rsid w:val="00A5798A"/>
    <w:rsid w:val="00AB49BA"/>
    <w:rsid w:val="00B17B38"/>
    <w:rsid w:val="00B634D0"/>
    <w:rsid w:val="00B63701"/>
    <w:rsid w:val="00B805BB"/>
    <w:rsid w:val="00BB2770"/>
    <w:rsid w:val="00C22C75"/>
    <w:rsid w:val="00C368E1"/>
    <w:rsid w:val="00D22D55"/>
    <w:rsid w:val="00D5550F"/>
    <w:rsid w:val="00D6480F"/>
    <w:rsid w:val="00D713A8"/>
    <w:rsid w:val="00E27C51"/>
    <w:rsid w:val="00E37176"/>
    <w:rsid w:val="00E94882"/>
    <w:rsid w:val="00EC12C2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D724-23B0-46F1-914B-986719AD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3570</Words>
  <Characters>21423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Beata Górowska</cp:lastModifiedBy>
  <cp:revision>1</cp:revision>
  <cp:lastPrinted>2018-09-03T05:38:00Z</cp:lastPrinted>
  <dcterms:created xsi:type="dcterms:W3CDTF">2018-09-02T17:04:00Z</dcterms:created>
  <dcterms:modified xsi:type="dcterms:W3CDTF">2018-09-03T14:32:00Z</dcterms:modified>
</cp:coreProperties>
</file>